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F5" w:rsidRDefault="00E71025">
      <w:pPr>
        <w:spacing w:after="45"/>
        <w:ind w:left="29"/>
        <w:jc w:val="center"/>
      </w:pPr>
      <w:r>
        <w:rPr>
          <w:sz w:val="28"/>
        </w:rPr>
        <w:t>SUZANNE SULLIVAN</w:t>
      </w:r>
      <w:r>
        <w:rPr>
          <w:noProof/>
        </w:rPr>
        <w:drawing>
          <wp:inline distT="0" distB="0" distL="0" distR="0">
            <wp:extent cx="4575" cy="4572"/>
            <wp:effectExtent l="0" t="0" r="0" b="0"/>
            <wp:docPr id="2060" name="Picture 2060"/>
            <wp:cNvGraphicFramePr/>
            <a:graphic xmlns:a="http://schemas.openxmlformats.org/drawingml/2006/main">
              <a:graphicData uri="http://schemas.openxmlformats.org/drawingml/2006/picture">
                <pic:pic xmlns:pic="http://schemas.openxmlformats.org/drawingml/2006/picture">
                  <pic:nvPicPr>
                    <pic:cNvPr id="2060" name="Picture 2060"/>
                    <pic:cNvPicPr/>
                  </pic:nvPicPr>
                  <pic:blipFill>
                    <a:blip r:embed="rId5"/>
                    <a:stretch>
                      <a:fillRect/>
                    </a:stretch>
                  </pic:blipFill>
                  <pic:spPr>
                    <a:xfrm>
                      <a:off x="0" y="0"/>
                      <a:ext cx="4575" cy="4572"/>
                    </a:xfrm>
                    <a:prstGeom prst="rect">
                      <a:avLst/>
                    </a:prstGeom>
                  </pic:spPr>
                </pic:pic>
              </a:graphicData>
            </a:graphic>
          </wp:inline>
        </w:drawing>
      </w:r>
    </w:p>
    <w:p w:rsidR="00503BF5" w:rsidRDefault="00E71025">
      <w:pPr>
        <w:spacing w:after="16" w:line="255" w:lineRule="auto"/>
        <w:ind w:left="2153" w:right="2179" w:hanging="10"/>
        <w:jc w:val="center"/>
      </w:pPr>
      <w:r>
        <w:rPr>
          <w:sz w:val="30"/>
        </w:rPr>
        <w:t>Justice of the Peace, Precinct 2</w:t>
      </w:r>
    </w:p>
    <w:p w:rsidR="00503BF5" w:rsidRDefault="00E71025">
      <w:pPr>
        <w:spacing w:after="230" w:line="255" w:lineRule="auto"/>
        <w:ind w:left="2153" w:right="2179" w:hanging="10"/>
        <w:jc w:val="center"/>
      </w:pPr>
      <w:r>
        <w:rPr>
          <w:sz w:val="30"/>
        </w:rPr>
        <w:t>2200 7</w:t>
      </w:r>
      <w:r>
        <w:rPr>
          <w:sz w:val="30"/>
          <w:vertAlign w:val="superscript"/>
        </w:rPr>
        <w:t xml:space="preserve">TH </w:t>
      </w:r>
      <w:r>
        <w:rPr>
          <w:sz w:val="30"/>
        </w:rPr>
        <w:t>Street, 4</w:t>
      </w:r>
      <w:r>
        <w:rPr>
          <w:sz w:val="30"/>
          <w:vertAlign w:val="superscript"/>
        </w:rPr>
        <w:t xml:space="preserve">TH </w:t>
      </w:r>
      <w:r>
        <w:rPr>
          <w:sz w:val="30"/>
        </w:rPr>
        <w:t>Floor Bay City, Texas 77414 Ph. (979) 863-2035 jp2@co.matagorda.tx.us</w:t>
      </w:r>
    </w:p>
    <w:p w:rsidR="00503BF5" w:rsidRDefault="00E71025">
      <w:pPr>
        <w:spacing w:after="379"/>
        <w:ind w:left="17" w:right="43" w:hanging="10"/>
        <w:jc w:val="center"/>
      </w:pPr>
      <w:r>
        <w:rPr>
          <w:sz w:val="26"/>
          <w:u w:val="single" w:color="000000"/>
        </w:rPr>
        <w:t>INSTRUCTIONS AND INFORMATION FOR FILING SMALL CLAIM CASES IN JUSTICE COURT</w:t>
      </w:r>
    </w:p>
    <w:p w:rsidR="00503BF5" w:rsidRDefault="00E71025">
      <w:pPr>
        <w:pStyle w:val="Heading1"/>
      </w:pPr>
      <w:r>
        <w:t>PLEASE READ CAREFULLY BEFORE COMPLETING THE PETITION</w:t>
      </w:r>
    </w:p>
    <w:p w:rsidR="00503BF5" w:rsidRDefault="00E71025">
      <w:pPr>
        <w:spacing w:after="309" w:line="223" w:lineRule="auto"/>
        <w:ind w:left="377" w:right="7" w:hanging="349"/>
        <w:jc w:val="both"/>
      </w:pPr>
      <w:r>
        <w:rPr>
          <w:sz w:val="30"/>
        </w:rPr>
        <w:t>I. The amount of debtor damages or personal property for which may be sued for in a Justice Court is limited to damages that do not exceed $20,000.</w:t>
      </w:r>
    </w:p>
    <w:p w:rsidR="00503BF5" w:rsidRDefault="00E71025">
      <w:pPr>
        <w:numPr>
          <w:ilvl w:val="0"/>
          <w:numId w:val="1"/>
        </w:numPr>
        <w:spacing w:after="309" w:line="223" w:lineRule="auto"/>
        <w:ind w:right="7" w:hanging="349"/>
        <w:jc w:val="both"/>
      </w:pPr>
      <w:r>
        <w:rPr>
          <w:sz w:val="30"/>
        </w:rPr>
        <w:t>It is your burden as a plaintiff and it is important th</w:t>
      </w:r>
      <w:r>
        <w:rPr>
          <w:sz w:val="30"/>
        </w:rPr>
        <w:t>at you understand that for any potential judgment you may receive to be valid, it is necessary for you to sue the defendant in their proper legal capacity (read the Self-Help Legal Information Packet for the types of claims).</w:t>
      </w:r>
    </w:p>
    <w:p w:rsidR="00503BF5" w:rsidRDefault="00E71025">
      <w:pPr>
        <w:numPr>
          <w:ilvl w:val="0"/>
          <w:numId w:val="1"/>
        </w:numPr>
        <w:spacing w:after="403" w:line="226" w:lineRule="auto"/>
        <w:ind w:right="7" w:hanging="349"/>
        <w:jc w:val="both"/>
      </w:pPr>
      <w:r>
        <w:rPr>
          <w:sz w:val="26"/>
        </w:rPr>
        <w:t>PLAINTIFFS AND DEFENDANTS - AL</w:t>
      </w:r>
      <w:r>
        <w:rPr>
          <w:sz w:val="26"/>
        </w:rPr>
        <w:t>L DOCUMENTS TO PROVE YOUR CASE: EXHIBITS, PICTURES, DISCOVERY &amp; ETC. MUST BE FILED NO LATER THAN THE DAY BEFORE YOUR COURT DATE! COPIES MUST BE PROVIDED TO THE COURT AND TO THE OPPOSING PARTY!</w:t>
      </w:r>
    </w:p>
    <w:p w:rsidR="00503BF5" w:rsidRDefault="00E71025">
      <w:pPr>
        <w:numPr>
          <w:ilvl w:val="0"/>
          <w:numId w:val="1"/>
        </w:numPr>
        <w:spacing w:after="309" w:line="223" w:lineRule="auto"/>
        <w:ind w:right="7" w:hanging="349"/>
        <w:jc w:val="both"/>
      </w:pPr>
      <w:r>
        <w:rPr>
          <w:sz w:val="30"/>
        </w:rPr>
        <w:t>When you have completed the petition stating the facts and circ</w:t>
      </w:r>
      <w:r>
        <w:rPr>
          <w:sz w:val="30"/>
        </w:rPr>
        <w:t>umstances of your suit, a citation along with a copy of your petition will be served to defendant notifying him/her that a suit has been filed against him/her in this court. The citation will order the defendant to answer by the end of the 14</w:t>
      </w:r>
      <w:r>
        <w:rPr>
          <w:sz w:val="30"/>
          <w:vertAlign w:val="superscript"/>
        </w:rPr>
        <w:t xml:space="preserve">th </w:t>
      </w:r>
      <w:r>
        <w:rPr>
          <w:sz w:val="30"/>
        </w:rPr>
        <w:t>day after t</w:t>
      </w:r>
      <w:r>
        <w:rPr>
          <w:sz w:val="30"/>
        </w:rPr>
        <w:t>he day the defendant was served with the citation and petition. If he/she fails to do so, you then become eligible for a default judgment up until the time the answer is filed.</w:t>
      </w:r>
    </w:p>
    <w:p w:rsidR="00503BF5" w:rsidRDefault="00E71025">
      <w:pPr>
        <w:numPr>
          <w:ilvl w:val="0"/>
          <w:numId w:val="1"/>
        </w:numPr>
        <w:spacing w:after="309" w:line="223" w:lineRule="auto"/>
        <w:ind w:right="7" w:hanging="349"/>
        <w:jc w:val="both"/>
      </w:pPr>
      <w:r>
        <w:rPr>
          <w:sz w:val="30"/>
        </w:rPr>
        <w:t xml:space="preserve">If the defendant answers the suit, this court will notify both parties by mail </w:t>
      </w:r>
      <w:r>
        <w:rPr>
          <w:sz w:val="30"/>
        </w:rPr>
        <w:t>as to the trial date. The trial date will be approximately 45 days from the date the defendant answered the suit. However, ANY REQUESTS FOR CONTINUANCE MUST BE IN PROPER FORM AND IN A TIMELY MANNER. File motions at least 24 hours prior to the trial date: w</w:t>
      </w:r>
      <w:r>
        <w:rPr>
          <w:sz w:val="30"/>
        </w:rPr>
        <w:t>ritten request supported by an affidavit.</w:t>
      </w:r>
    </w:p>
    <w:p w:rsidR="00503BF5" w:rsidRDefault="00E71025">
      <w:pPr>
        <w:numPr>
          <w:ilvl w:val="0"/>
          <w:numId w:val="1"/>
        </w:numPr>
        <w:spacing w:after="346" w:line="223" w:lineRule="auto"/>
        <w:ind w:right="7" w:hanging="349"/>
        <w:jc w:val="both"/>
      </w:pPr>
      <w:r>
        <w:rPr>
          <w:sz w:val="30"/>
        </w:rPr>
        <w:t>This court does not collect the judgment for you, nor can we force the defendant to pay the judgment. If you receive a judgment for your claim against the defendant, you may request an Abstract of Judgment and/or Writ of Execution to help you in your colle</w:t>
      </w:r>
      <w:r>
        <w:rPr>
          <w:sz w:val="30"/>
        </w:rPr>
        <w:t xml:space="preserve">ction of this judgment. An Abstract of Judgment may put a lien on any real property the </w:t>
      </w:r>
      <w:r>
        <w:rPr>
          <w:rFonts w:ascii="Calibri" w:eastAsia="Calibri" w:hAnsi="Calibri" w:cs="Calibri"/>
          <w:sz w:val="30"/>
        </w:rPr>
        <w:lastRenderedPageBreak/>
        <w:t>defendant may own in a particular county where the Abstract is recorded. This can be obtained the same day the judgment has been signed.</w:t>
      </w:r>
    </w:p>
    <w:p w:rsidR="00503BF5" w:rsidRDefault="00E71025">
      <w:pPr>
        <w:pStyle w:val="Heading1"/>
        <w:spacing w:after="81"/>
        <w:ind w:left="72" w:right="0"/>
      </w:pPr>
      <w:r>
        <w:rPr>
          <w:sz w:val="28"/>
        </w:rPr>
        <w:t>NOTE</w:t>
      </w:r>
    </w:p>
    <w:p w:rsidR="00503BF5" w:rsidRDefault="00E71025">
      <w:pPr>
        <w:spacing w:after="320" w:line="245" w:lineRule="auto"/>
        <w:ind w:left="14" w:right="331" w:firstLine="50"/>
        <w:jc w:val="both"/>
      </w:pPr>
      <w:r>
        <w:rPr>
          <w:sz w:val="34"/>
        </w:rPr>
        <w:t>DO NOT ASK TO SPEAK TO THE</w:t>
      </w:r>
      <w:r>
        <w:rPr>
          <w:sz w:val="34"/>
        </w:rPr>
        <w:t xml:space="preserve"> JUDGE. The judge cannot listen to any portion of your case and then actually hear the case upon trial. Any question should be directed to the clerks and if there is a problem, this will be addressed to the Judge by the clerks. ANY LEGAL QUESTION MAY NOT B</w:t>
      </w:r>
      <w:r>
        <w:rPr>
          <w:sz w:val="34"/>
        </w:rPr>
        <w:t>E ANSWERED BY THIS COURT.</w:t>
      </w:r>
    </w:p>
    <w:p w:rsidR="00503BF5" w:rsidRDefault="00E71025">
      <w:pPr>
        <w:pStyle w:val="Heading2"/>
        <w:spacing w:after="406"/>
        <w:ind w:left="0" w:right="0"/>
      </w:pPr>
      <w:r>
        <w:rPr>
          <w:noProof/>
        </w:rPr>
        <w:drawing>
          <wp:anchor distT="0" distB="0" distL="114300" distR="114300" simplePos="0" relativeHeight="251658240" behindDoc="0" locked="0" layoutInCell="1" allowOverlap="0">
            <wp:simplePos x="0" y="0"/>
            <wp:positionH relativeFrom="page">
              <wp:posOffset>375125</wp:posOffset>
            </wp:positionH>
            <wp:positionV relativeFrom="page">
              <wp:posOffset>2244852</wp:posOffset>
            </wp:positionV>
            <wp:extent cx="4575" cy="9144"/>
            <wp:effectExtent l="0" t="0" r="0" b="0"/>
            <wp:wrapSquare wrapText="bothSides"/>
            <wp:docPr id="3600" name="Picture 3600"/>
            <wp:cNvGraphicFramePr/>
            <a:graphic xmlns:a="http://schemas.openxmlformats.org/drawingml/2006/main">
              <a:graphicData uri="http://schemas.openxmlformats.org/drawingml/2006/picture">
                <pic:pic xmlns:pic="http://schemas.openxmlformats.org/drawingml/2006/picture">
                  <pic:nvPicPr>
                    <pic:cNvPr id="3600" name="Picture 3600"/>
                    <pic:cNvPicPr/>
                  </pic:nvPicPr>
                  <pic:blipFill>
                    <a:blip r:embed="rId6"/>
                    <a:stretch>
                      <a:fillRect/>
                    </a:stretch>
                  </pic:blipFill>
                  <pic:spPr>
                    <a:xfrm>
                      <a:off x="0" y="0"/>
                      <a:ext cx="4575" cy="9144"/>
                    </a:xfrm>
                    <a:prstGeom prst="rect">
                      <a:avLst/>
                    </a:prstGeom>
                  </pic:spPr>
                </pic:pic>
              </a:graphicData>
            </a:graphic>
          </wp:anchor>
        </w:drawing>
      </w:r>
      <w:r>
        <w:rPr>
          <w:sz w:val="26"/>
          <w:u w:val="single" w:color="000000"/>
        </w:rPr>
        <w:t>SCHEDULE OF FEES FOR JUSTICE COURT CASES</w:t>
      </w:r>
    </w:p>
    <w:p w:rsidR="00503BF5" w:rsidRDefault="00E71025">
      <w:pPr>
        <w:spacing w:after="286"/>
        <w:ind w:left="-1" w:firstLine="4"/>
      </w:pPr>
      <w:r>
        <w:rPr>
          <w:sz w:val="32"/>
        </w:rPr>
        <w:t>Filing Fees IF the Defendant lives in Matagorda County:</w:t>
      </w:r>
    </w:p>
    <w:p w:rsidR="00503BF5" w:rsidRDefault="00E71025">
      <w:pPr>
        <w:tabs>
          <w:tab w:val="center" w:pos="4845"/>
        </w:tabs>
        <w:spacing w:after="79"/>
      </w:pPr>
      <w:r>
        <w:rPr>
          <w:sz w:val="28"/>
        </w:rPr>
        <w:t>Filing Fee</w:t>
      </w:r>
      <w:r>
        <w:rPr>
          <w:sz w:val="28"/>
        </w:rPr>
        <w:tab/>
      </w:r>
      <w:r>
        <w:rPr>
          <w:rFonts w:ascii="Calibri" w:eastAsia="Calibri" w:hAnsi="Calibri" w:cs="Calibri"/>
          <w:sz w:val="28"/>
        </w:rPr>
        <w:t>$ 54.00</w:t>
      </w:r>
    </w:p>
    <w:p w:rsidR="00503BF5" w:rsidRDefault="00E71025">
      <w:pPr>
        <w:tabs>
          <w:tab w:val="center" w:pos="4845"/>
        </w:tabs>
        <w:spacing w:after="3" w:line="249" w:lineRule="auto"/>
      </w:pPr>
      <w:r>
        <w:rPr>
          <w:sz w:val="30"/>
        </w:rPr>
        <w:t>** *Service Fee</w:t>
      </w:r>
      <w:r>
        <w:rPr>
          <w:sz w:val="30"/>
        </w:rPr>
        <w:tab/>
      </w:r>
      <w:r>
        <w:rPr>
          <w:rFonts w:ascii="Calibri" w:eastAsia="Calibri" w:hAnsi="Calibri" w:cs="Calibri"/>
          <w:sz w:val="30"/>
        </w:rPr>
        <w:t>$ 75.00</w:t>
      </w:r>
    </w:p>
    <w:p w:rsidR="00503BF5" w:rsidRDefault="00E71025">
      <w:pPr>
        <w:spacing w:after="100"/>
      </w:pPr>
      <w:r>
        <w:rPr>
          <w:noProof/>
        </w:rPr>
        <mc:AlternateContent>
          <mc:Choice Requires="wpg">
            <w:drawing>
              <wp:inline distT="0" distB="0" distL="0" distR="0">
                <wp:extent cx="3453892" cy="9144"/>
                <wp:effectExtent l="0" t="0" r="0" b="0"/>
                <wp:docPr id="13068" name="Group 13068"/>
                <wp:cNvGraphicFramePr/>
                <a:graphic xmlns:a="http://schemas.openxmlformats.org/drawingml/2006/main">
                  <a:graphicData uri="http://schemas.microsoft.com/office/word/2010/wordprocessingGroup">
                    <wpg:wgp>
                      <wpg:cNvGrpSpPr/>
                      <wpg:grpSpPr>
                        <a:xfrm>
                          <a:off x="0" y="0"/>
                          <a:ext cx="3453892" cy="9144"/>
                          <a:chOff x="0" y="0"/>
                          <a:chExt cx="3453892" cy="9144"/>
                        </a:xfrm>
                      </wpg:grpSpPr>
                      <wps:wsp>
                        <wps:cNvPr id="13067" name="Shape 13067"/>
                        <wps:cNvSpPr/>
                        <wps:spPr>
                          <a:xfrm>
                            <a:off x="0" y="0"/>
                            <a:ext cx="3453892" cy="9144"/>
                          </a:xfrm>
                          <a:custGeom>
                            <a:avLst/>
                            <a:gdLst/>
                            <a:ahLst/>
                            <a:cxnLst/>
                            <a:rect l="0" t="0" r="0" b="0"/>
                            <a:pathLst>
                              <a:path w="3453892" h="9144">
                                <a:moveTo>
                                  <a:pt x="0" y="4572"/>
                                </a:moveTo>
                                <a:lnTo>
                                  <a:pt x="34538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3068" style="width:271.96pt;height:0.720001pt;mso-position-horizontal-relative:char;mso-position-vertical-relative:line" coordsize="34538,91">
                <v:shape id="Shape 13067" style="position:absolute;width:34538;height:91;left:0;top:0;" coordsize="3453892,9144" path="m0,4572l3453892,4572">
                  <v:stroke weight="0.720001pt" endcap="flat" joinstyle="miter" miterlimit="1" on="true" color="#000000"/>
                  <v:fill on="false" color="#000000"/>
                </v:shape>
              </v:group>
            </w:pict>
          </mc:Fallback>
        </mc:AlternateContent>
      </w:r>
    </w:p>
    <w:p w:rsidR="00503BF5" w:rsidRDefault="00E71025">
      <w:pPr>
        <w:pStyle w:val="Heading1"/>
        <w:tabs>
          <w:tab w:val="center" w:pos="4856"/>
        </w:tabs>
        <w:spacing w:after="324"/>
        <w:ind w:right="0"/>
        <w:jc w:val="left"/>
      </w:pPr>
      <w:r>
        <w:rPr>
          <w:sz w:val="30"/>
        </w:rPr>
        <w:t>Total</w:t>
      </w:r>
      <w:r>
        <w:rPr>
          <w:sz w:val="30"/>
        </w:rPr>
        <w:tab/>
      </w:r>
      <w:r>
        <w:rPr>
          <w:rFonts w:ascii="Calibri" w:eastAsia="Calibri" w:hAnsi="Calibri" w:cs="Calibri"/>
          <w:sz w:val="30"/>
        </w:rPr>
        <w:t>$ 129.00</w:t>
      </w:r>
    </w:p>
    <w:p w:rsidR="00503BF5" w:rsidRDefault="00E71025">
      <w:pPr>
        <w:spacing w:after="3" w:line="249" w:lineRule="auto"/>
        <w:ind w:left="14" w:right="79" w:firstLine="22"/>
        <w:jc w:val="both"/>
      </w:pPr>
      <w:r>
        <w:rPr>
          <w:sz w:val="30"/>
        </w:rPr>
        <w:t xml:space="preserve">** *If the Defendant lives </w:t>
      </w:r>
      <w:r>
        <w:rPr>
          <w:sz w:val="30"/>
          <w:u w:val="single" w:color="000000"/>
        </w:rPr>
        <w:t>OUT</w:t>
      </w:r>
      <w:r>
        <w:rPr>
          <w:sz w:val="30"/>
        </w:rPr>
        <w:t xml:space="preserve"> of Matagorda County the above Service Fee</w:t>
      </w:r>
      <w:r>
        <w:rPr>
          <w:sz w:val="30"/>
        </w:rPr>
        <w:t xml:space="preserve"> may differ in another county. Please contact the Sheriff's office in that county and ask for the </w:t>
      </w:r>
      <w:r>
        <w:rPr>
          <w:noProof/>
        </w:rPr>
        <w:drawing>
          <wp:inline distT="0" distB="0" distL="0" distR="0">
            <wp:extent cx="4575" cy="4572"/>
            <wp:effectExtent l="0" t="0" r="0" b="0"/>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7"/>
                    <a:stretch>
                      <a:fillRect/>
                    </a:stretch>
                  </pic:blipFill>
                  <pic:spPr>
                    <a:xfrm>
                      <a:off x="0" y="0"/>
                      <a:ext cx="4575" cy="4572"/>
                    </a:xfrm>
                    <a:prstGeom prst="rect">
                      <a:avLst/>
                    </a:prstGeom>
                  </pic:spPr>
                </pic:pic>
              </a:graphicData>
            </a:graphic>
          </wp:inline>
        </w:drawing>
      </w:r>
      <w:r>
        <w:rPr>
          <w:sz w:val="30"/>
        </w:rPr>
        <w:t xml:space="preserve">following information: </w:t>
      </w:r>
      <w:r>
        <w:rPr>
          <w:sz w:val="30"/>
          <w:u w:val="single" w:color="000000"/>
        </w:rPr>
        <w:t>Who will serve a Civil Citation from Matagorda County?</w:t>
      </w:r>
      <w:r>
        <w:rPr>
          <w:sz w:val="30"/>
        </w:rPr>
        <w:t xml:space="preserve"> </w:t>
      </w:r>
      <w:r>
        <w:rPr>
          <w:sz w:val="30"/>
          <w:u w:val="single" w:color="000000"/>
        </w:rPr>
        <w:t>Get the Constable's or whoever will serve the citation: Name Address and Phone.</w:t>
      </w:r>
      <w:r>
        <w:rPr>
          <w:sz w:val="30"/>
        </w:rPr>
        <w:t xml:space="preserve"> </w:t>
      </w:r>
      <w:r>
        <w:rPr>
          <w:sz w:val="30"/>
          <w:u w:val="single" w:color="000000"/>
        </w:rPr>
        <w:t>Be sure and ask how much they charge to serve a Civil Citation.</w:t>
      </w:r>
    </w:p>
    <w:p w:rsidR="00503BF5" w:rsidRDefault="00E71025">
      <w:pPr>
        <w:spacing w:after="0"/>
        <w:ind w:left="-1" w:firstLine="4"/>
      </w:pPr>
      <w:r>
        <w:rPr>
          <w:sz w:val="32"/>
        </w:rPr>
        <w:t>Other fees that may apply to Justice Court Cases:</w:t>
      </w:r>
    </w:p>
    <w:tbl>
      <w:tblPr>
        <w:tblStyle w:val="TableGrid"/>
        <w:tblW w:w="8696" w:type="dxa"/>
        <w:tblInd w:w="-14" w:type="dxa"/>
        <w:tblCellMar>
          <w:top w:w="0" w:type="dxa"/>
          <w:left w:w="0" w:type="dxa"/>
          <w:bottom w:w="0" w:type="dxa"/>
          <w:right w:w="0" w:type="dxa"/>
        </w:tblCellMar>
        <w:tblLook w:val="04A0" w:firstRow="1" w:lastRow="0" w:firstColumn="1" w:lastColumn="0" w:noHBand="0" w:noVBand="1"/>
      </w:tblPr>
      <w:tblGrid>
        <w:gridCol w:w="3465"/>
        <w:gridCol w:w="5231"/>
      </w:tblGrid>
      <w:tr w:rsidR="00503BF5">
        <w:trPr>
          <w:trHeight w:val="335"/>
        </w:trPr>
        <w:tc>
          <w:tcPr>
            <w:tcW w:w="3465" w:type="dxa"/>
            <w:tcBorders>
              <w:top w:val="nil"/>
              <w:left w:val="nil"/>
              <w:bottom w:val="nil"/>
              <w:right w:val="nil"/>
            </w:tcBorders>
          </w:tcPr>
          <w:p w:rsidR="00503BF5" w:rsidRDefault="00E71025">
            <w:pPr>
              <w:spacing w:after="0"/>
              <w:ind w:left="14"/>
            </w:pPr>
            <w:r>
              <w:rPr>
                <w:sz w:val="30"/>
              </w:rPr>
              <w:t>Jury Fee</w:t>
            </w:r>
          </w:p>
        </w:tc>
        <w:tc>
          <w:tcPr>
            <w:tcW w:w="5230" w:type="dxa"/>
            <w:tcBorders>
              <w:top w:val="nil"/>
              <w:left w:val="nil"/>
              <w:bottom w:val="nil"/>
              <w:right w:val="nil"/>
            </w:tcBorders>
          </w:tcPr>
          <w:p w:rsidR="00503BF5" w:rsidRDefault="00E71025">
            <w:pPr>
              <w:spacing w:after="0"/>
              <w:ind w:left="158"/>
            </w:pPr>
            <w:r>
              <w:rPr>
                <w:sz w:val="30"/>
              </w:rPr>
              <w:t>$ 22.00</w:t>
            </w:r>
          </w:p>
        </w:tc>
      </w:tr>
      <w:tr w:rsidR="00503BF5">
        <w:trPr>
          <w:trHeight w:val="398"/>
        </w:trPr>
        <w:tc>
          <w:tcPr>
            <w:tcW w:w="3465" w:type="dxa"/>
            <w:tcBorders>
              <w:top w:val="nil"/>
              <w:left w:val="nil"/>
              <w:bottom w:val="nil"/>
              <w:right w:val="nil"/>
            </w:tcBorders>
          </w:tcPr>
          <w:p w:rsidR="00503BF5" w:rsidRDefault="00E71025">
            <w:pPr>
              <w:spacing w:after="0"/>
              <w:ind w:left="29"/>
            </w:pPr>
            <w:r>
              <w:rPr>
                <w:sz w:val="30"/>
              </w:rPr>
              <w:t>Subpoena</w:t>
            </w:r>
          </w:p>
        </w:tc>
        <w:tc>
          <w:tcPr>
            <w:tcW w:w="5230" w:type="dxa"/>
            <w:tcBorders>
              <w:top w:val="nil"/>
              <w:left w:val="nil"/>
              <w:bottom w:val="nil"/>
              <w:right w:val="nil"/>
            </w:tcBorders>
          </w:tcPr>
          <w:p w:rsidR="00503BF5" w:rsidRDefault="00E71025">
            <w:pPr>
              <w:spacing w:after="0"/>
              <w:ind w:left="173"/>
            </w:pPr>
            <w:r>
              <w:rPr>
                <w:sz w:val="30"/>
              </w:rPr>
              <w:t>$ 75.00</w:t>
            </w:r>
          </w:p>
        </w:tc>
      </w:tr>
      <w:tr w:rsidR="00503BF5">
        <w:trPr>
          <w:trHeight w:val="404"/>
        </w:trPr>
        <w:tc>
          <w:tcPr>
            <w:tcW w:w="3465" w:type="dxa"/>
            <w:tcBorders>
              <w:top w:val="nil"/>
              <w:left w:val="nil"/>
              <w:bottom w:val="nil"/>
              <w:right w:val="nil"/>
            </w:tcBorders>
          </w:tcPr>
          <w:p w:rsidR="00503BF5" w:rsidRDefault="00E71025">
            <w:pPr>
              <w:spacing w:after="0"/>
            </w:pPr>
            <w:r>
              <w:rPr>
                <w:sz w:val="30"/>
              </w:rPr>
              <w:t>Abstract of Judgment</w:t>
            </w:r>
          </w:p>
        </w:tc>
        <w:tc>
          <w:tcPr>
            <w:tcW w:w="5230" w:type="dxa"/>
            <w:tcBorders>
              <w:top w:val="nil"/>
              <w:left w:val="nil"/>
              <w:bottom w:val="nil"/>
              <w:right w:val="nil"/>
            </w:tcBorders>
          </w:tcPr>
          <w:p w:rsidR="00503BF5" w:rsidRDefault="00E71025">
            <w:pPr>
              <w:spacing w:after="0"/>
              <w:ind w:left="158"/>
            </w:pPr>
            <w:r>
              <w:rPr>
                <w:sz w:val="30"/>
              </w:rPr>
              <w:t>$ 5.00</w:t>
            </w:r>
          </w:p>
        </w:tc>
      </w:tr>
      <w:tr w:rsidR="00503BF5">
        <w:trPr>
          <w:trHeight w:val="392"/>
        </w:trPr>
        <w:tc>
          <w:tcPr>
            <w:tcW w:w="3465" w:type="dxa"/>
            <w:tcBorders>
              <w:top w:val="nil"/>
              <w:left w:val="nil"/>
              <w:bottom w:val="nil"/>
              <w:right w:val="nil"/>
            </w:tcBorders>
          </w:tcPr>
          <w:p w:rsidR="00503BF5" w:rsidRDefault="00E71025">
            <w:pPr>
              <w:spacing w:after="0"/>
              <w:ind w:left="22"/>
            </w:pPr>
            <w:r>
              <w:rPr>
                <w:sz w:val="28"/>
              </w:rPr>
              <w:t>Writ of Execution</w:t>
            </w:r>
          </w:p>
        </w:tc>
        <w:tc>
          <w:tcPr>
            <w:tcW w:w="5230" w:type="dxa"/>
            <w:tcBorders>
              <w:top w:val="nil"/>
              <w:left w:val="nil"/>
              <w:bottom w:val="nil"/>
              <w:right w:val="nil"/>
            </w:tcBorders>
          </w:tcPr>
          <w:p w:rsidR="00503BF5" w:rsidRDefault="00E71025">
            <w:pPr>
              <w:spacing w:after="0"/>
              <w:ind w:left="173"/>
            </w:pPr>
            <w:r>
              <w:rPr>
                <w:sz w:val="30"/>
              </w:rPr>
              <w:t>$130.00 in Matag. co. (Srv $125/JPFee $5)</w:t>
            </w:r>
            <w:r>
              <w:rPr>
                <w:noProof/>
              </w:rPr>
              <w:drawing>
                <wp:inline distT="0" distB="0" distL="0" distR="0">
                  <wp:extent cx="4574" cy="4572"/>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8"/>
                          <a:stretch>
                            <a:fillRect/>
                          </a:stretch>
                        </pic:blipFill>
                        <pic:spPr>
                          <a:xfrm>
                            <a:off x="0" y="0"/>
                            <a:ext cx="4574" cy="4572"/>
                          </a:xfrm>
                          <a:prstGeom prst="rect">
                            <a:avLst/>
                          </a:prstGeom>
                        </pic:spPr>
                      </pic:pic>
                    </a:graphicData>
                  </a:graphic>
                </wp:inline>
              </w:drawing>
            </w:r>
          </w:p>
        </w:tc>
      </w:tr>
      <w:tr w:rsidR="00503BF5">
        <w:trPr>
          <w:trHeight w:val="398"/>
        </w:trPr>
        <w:tc>
          <w:tcPr>
            <w:tcW w:w="3465" w:type="dxa"/>
            <w:tcBorders>
              <w:top w:val="nil"/>
              <w:left w:val="nil"/>
              <w:bottom w:val="nil"/>
              <w:right w:val="nil"/>
            </w:tcBorders>
          </w:tcPr>
          <w:p w:rsidR="00503BF5" w:rsidRDefault="00E71025">
            <w:pPr>
              <w:spacing w:after="0"/>
              <w:ind w:left="22"/>
            </w:pPr>
            <w:r>
              <w:rPr>
                <w:sz w:val="30"/>
              </w:rPr>
              <w:t>Writ of Garnishment</w:t>
            </w:r>
          </w:p>
        </w:tc>
        <w:tc>
          <w:tcPr>
            <w:tcW w:w="5230" w:type="dxa"/>
            <w:tcBorders>
              <w:top w:val="nil"/>
              <w:left w:val="nil"/>
              <w:bottom w:val="nil"/>
              <w:right w:val="nil"/>
            </w:tcBorders>
          </w:tcPr>
          <w:p w:rsidR="00503BF5" w:rsidRDefault="00E71025">
            <w:pPr>
              <w:spacing w:after="0"/>
              <w:ind w:left="166"/>
            </w:pPr>
            <w:r>
              <w:rPr>
                <w:sz w:val="30"/>
              </w:rPr>
              <w:t>$130.00 in Matag. co. (srv $125/JPFee $5)</w:t>
            </w:r>
          </w:p>
        </w:tc>
      </w:tr>
      <w:tr w:rsidR="00503BF5">
        <w:trPr>
          <w:trHeight w:val="404"/>
        </w:trPr>
        <w:tc>
          <w:tcPr>
            <w:tcW w:w="3465" w:type="dxa"/>
            <w:tcBorders>
              <w:top w:val="nil"/>
              <w:left w:val="nil"/>
              <w:bottom w:val="nil"/>
              <w:right w:val="nil"/>
            </w:tcBorders>
          </w:tcPr>
          <w:p w:rsidR="00503BF5" w:rsidRDefault="00E71025">
            <w:pPr>
              <w:spacing w:after="0"/>
              <w:ind w:left="36"/>
            </w:pPr>
            <w:r>
              <w:rPr>
                <w:sz w:val="30"/>
              </w:rPr>
              <w:t>Writ of Possession</w:t>
            </w:r>
          </w:p>
        </w:tc>
        <w:tc>
          <w:tcPr>
            <w:tcW w:w="5230" w:type="dxa"/>
            <w:tcBorders>
              <w:top w:val="nil"/>
              <w:left w:val="nil"/>
              <w:bottom w:val="nil"/>
              <w:right w:val="nil"/>
            </w:tcBorders>
          </w:tcPr>
          <w:p w:rsidR="00503BF5" w:rsidRDefault="00E71025">
            <w:pPr>
              <w:spacing w:after="0"/>
              <w:ind w:left="180"/>
            </w:pPr>
            <w:r>
              <w:rPr>
                <w:sz w:val="30"/>
              </w:rPr>
              <w:t>$130.00 in Matag. co. (Srv $125/JPFee $5)</w:t>
            </w:r>
          </w:p>
        </w:tc>
      </w:tr>
      <w:tr w:rsidR="00503BF5">
        <w:trPr>
          <w:trHeight w:val="340"/>
        </w:trPr>
        <w:tc>
          <w:tcPr>
            <w:tcW w:w="3465" w:type="dxa"/>
            <w:tcBorders>
              <w:top w:val="nil"/>
              <w:left w:val="nil"/>
              <w:bottom w:val="nil"/>
              <w:right w:val="nil"/>
            </w:tcBorders>
          </w:tcPr>
          <w:p w:rsidR="00503BF5" w:rsidRDefault="00E71025">
            <w:pPr>
              <w:spacing w:after="0"/>
              <w:ind w:left="7"/>
            </w:pPr>
            <w:r>
              <w:rPr>
                <w:sz w:val="30"/>
              </w:rPr>
              <w:t>Appeal Transcript Fee</w:t>
            </w:r>
          </w:p>
        </w:tc>
        <w:tc>
          <w:tcPr>
            <w:tcW w:w="5230" w:type="dxa"/>
            <w:tcBorders>
              <w:top w:val="nil"/>
              <w:left w:val="nil"/>
              <w:bottom w:val="nil"/>
              <w:right w:val="nil"/>
            </w:tcBorders>
          </w:tcPr>
          <w:p w:rsidR="00503BF5" w:rsidRDefault="00E71025">
            <w:pPr>
              <w:spacing w:after="0"/>
              <w:ind w:left="166"/>
            </w:pPr>
            <w:r>
              <w:rPr>
                <w:sz w:val="32"/>
              </w:rPr>
              <w:t>$ 10.00</w:t>
            </w:r>
          </w:p>
        </w:tc>
      </w:tr>
    </w:tbl>
    <w:p w:rsidR="00503BF5" w:rsidRDefault="00E71025">
      <w:pPr>
        <w:spacing w:after="975"/>
        <w:ind w:left="-1" w:firstLine="4"/>
      </w:pPr>
      <w:r>
        <w:rPr>
          <w:sz w:val="32"/>
          <w:u w:val="single" w:color="000000"/>
        </w:rPr>
        <w:lastRenderedPageBreak/>
        <w:t>Out of County Writs</w:t>
      </w:r>
      <w:r>
        <w:rPr>
          <w:sz w:val="32"/>
        </w:rPr>
        <w:t>: $5.00 Writ fee to JP2. The clerk will prepare the Writ and then contact the Plaintiff to hire a person qualified to serve the Writ.</w:t>
      </w:r>
    </w:p>
    <w:p w:rsidR="00503BF5" w:rsidRDefault="00E71025">
      <w:pPr>
        <w:spacing w:after="276"/>
        <w:ind w:left="7"/>
      </w:pPr>
      <w:r>
        <w:rPr>
          <w:sz w:val="32"/>
          <w:u w:val="single" w:color="000000"/>
        </w:rPr>
        <w:t>Payments accepted:</w:t>
      </w:r>
    </w:p>
    <w:p w:rsidR="00503BF5" w:rsidRDefault="00E71025">
      <w:pPr>
        <w:spacing w:after="3" w:line="249" w:lineRule="auto"/>
        <w:ind w:left="38" w:right="3941" w:hanging="24"/>
        <w:jc w:val="both"/>
      </w:pPr>
      <w:r>
        <w:rPr>
          <w:sz w:val="30"/>
        </w:rPr>
        <w:t xml:space="preserve">Cash (exact amount) Money Order (exact amount) Credit Card </w:t>
      </w:r>
      <w:r>
        <w:rPr>
          <w:sz w:val="30"/>
          <w:u w:val="single" w:color="000000"/>
        </w:rPr>
        <w:t>in person,</w:t>
      </w:r>
      <w:r>
        <w:rPr>
          <w:sz w:val="30"/>
        </w:rPr>
        <w:t xml:space="preserve"> </w:t>
      </w:r>
      <w:r>
        <w:rPr>
          <w:sz w:val="30"/>
          <w:u w:val="single" w:color="000000"/>
        </w:rPr>
        <w:t>by phone,</w:t>
      </w:r>
      <w:r>
        <w:rPr>
          <w:sz w:val="30"/>
        </w:rPr>
        <w:t xml:space="preserve"> or </w:t>
      </w:r>
      <w:r>
        <w:rPr>
          <w:sz w:val="30"/>
          <w:u w:val="single" w:color="000000"/>
        </w:rPr>
        <w:t>online:</w:t>
      </w:r>
    </w:p>
    <w:p w:rsidR="00E71025" w:rsidRDefault="00E71025">
      <w:pPr>
        <w:spacing w:after="3" w:line="249" w:lineRule="auto"/>
        <w:ind w:left="1479" w:right="2831" w:hanging="24"/>
        <w:jc w:val="both"/>
        <w:rPr>
          <w:sz w:val="30"/>
        </w:rPr>
      </w:pPr>
      <w:r>
        <w:rPr>
          <w:sz w:val="30"/>
          <w:u w:val="single" w:color="000000"/>
        </w:rPr>
        <w:t>www.certifie</w:t>
      </w:r>
      <w:r>
        <w:rPr>
          <w:sz w:val="30"/>
          <w:u w:val="single" w:color="000000"/>
        </w:rPr>
        <w:t>dpayments.net</w:t>
      </w:r>
      <w:r>
        <w:rPr>
          <w:sz w:val="30"/>
        </w:rPr>
        <w:t xml:space="preserve"> 1-866-539-2020 </w:t>
      </w:r>
    </w:p>
    <w:p w:rsidR="00503BF5" w:rsidRDefault="00E71025">
      <w:pPr>
        <w:spacing w:after="3" w:line="249" w:lineRule="auto"/>
        <w:ind w:left="1479" w:right="2831" w:hanging="24"/>
        <w:jc w:val="both"/>
      </w:pPr>
      <w:bookmarkStart w:id="0" w:name="_GoBack"/>
      <w:bookmarkEnd w:id="0"/>
      <w:r>
        <w:rPr>
          <w:sz w:val="30"/>
        </w:rPr>
        <w:t>Provide the Bureau Code: 7427587</w:t>
      </w:r>
    </w:p>
    <w:sectPr w:rsidR="00503BF5">
      <w:pgSz w:w="12240" w:h="15840"/>
      <w:pgMar w:top="651" w:right="778" w:bottom="1941"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0236"/>
    <w:multiLevelType w:val="hybridMultilevel"/>
    <w:tmpl w:val="1462356C"/>
    <w:lvl w:ilvl="0" w:tplc="FEACC6B8">
      <w:start w:val="2"/>
      <w:numFmt w:val="decimal"/>
      <w:lvlText w:val="%1."/>
      <w:lvlJc w:val="left"/>
      <w:pPr>
        <w:ind w:left="3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984EB08">
      <w:start w:val="1"/>
      <w:numFmt w:val="lowerLetter"/>
      <w:lvlText w:val="%2"/>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443F3A">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79C67FA">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8CFD2A">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27CB948">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D968558">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1631A6">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D0CA41E">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F5"/>
    <w:rsid w:val="00503BF5"/>
    <w:rsid w:val="00E7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BF6A"/>
  <w15:docId w15:val="{9F4E9723-95E0-430D-969B-3787B784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67"/>
      <w:ind w:right="22"/>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0"/>
      <w:ind w:left="3984" w:right="3876"/>
      <w:jc w:val="center"/>
      <w:outlineLvl w:val="1"/>
    </w:pPr>
    <w:rPr>
      <w:rFonts w:ascii="Times New Roman" w:eastAsia="Times New Roman" w:hAnsi="Times New Roman" w:cs="Times New Roman"/>
      <w:color w:val="000000"/>
    </w:rPr>
  </w:style>
  <w:style w:type="paragraph" w:styleId="Heading3">
    <w:name w:val="heading 3"/>
    <w:next w:val="Normal"/>
    <w:link w:val="Heading3Char"/>
    <w:uiPriority w:val="9"/>
    <w:unhideWhenUsed/>
    <w:qFormat/>
    <w:pPr>
      <w:keepNext/>
      <w:keepLines/>
      <w:spacing w:after="252"/>
      <w:ind w:left="94"/>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JP2</dc:creator>
  <cp:keywords/>
  <cp:lastModifiedBy>JP2</cp:lastModifiedBy>
  <cp:revision>2</cp:revision>
  <dcterms:created xsi:type="dcterms:W3CDTF">2023-02-23T16:27:00Z</dcterms:created>
  <dcterms:modified xsi:type="dcterms:W3CDTF">2023-02-23T16:27:00Z</dcterms:modified>
</cp:coreProperties>
</file>